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B" w:rsidRDefault="002B232B" w:rsidP="002B232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2B232B" w:rsidRDefault="002B232B" w:rsidP="002B232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2B232B" w:rsidRDefault="002B232B" w:rsidP="002B232B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2B232B" w:rsidRDefault="002B232B" w:rsidP="002B232B">
      <w:pPr>
        <w:jc w:val="center"/>
        <w:rPr>
          <w:sz w:val="28"/>
          <w:szCs w:val="28"/>
        </w:rPr>
      </w:pPr>
    </w:p>
    <w:p w:rsidR="002B232B" w:rsidRDefault="002B232B" w:rsidP="002B232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B232B" w:rsidRDefault="002B232B" w:rsidP="002B232B">
      <w:pPr>
        <w:pStyle w:val="a3"/>
        <w:jc w:val="both"/>
        <w:rPr>
          <w:szCs w:val="24"/>
        </w:rPr>
      </w:pPr>
    </w:p>
    <w:p w:rsidR="002B232B" w:rsidRDefault="002B232B" w:rsidP="002B232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4862"/>
      </w:tblGrid>
      <w:tr w:rsidR="002B232B" w:rsidTr="003B6775">
        <w:tc>
          <w:tcPr>
            <w:tcW w:w="4643" w:type="dxa"/>
          </w:tcPr>
          <w:p w:rsidR="002B232B" w:rsidRDefault="00622D51" w:rsidP="003B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B232B">
              <w:rPr>
                <w:sz w:val="24"/>
                <w:szCs w:val="24"/>
              </w:rPr>
              <w:t xml:space="preserve"> ноября 2022 года                                                                                                          </w:t>
            </w:r>
          </w:p>
          <w:p w:rsidR="002B232B" w:rsidRDefault="002B232B" w:rsidP="003B6775">
            <w:pPr>
              <w:rPr>
                <w:sz w:val="24"/>
                <w:szCs w:val="24"/>
              </w:rPr>
            </w:pPr>
          </w:p>
          <w:p w:rsidR="002B232B" w:rsidRDefault="002B232B" w:rsidP="003B6775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2B232B" w:rsidRDefault="002B232B" w:rsidP="003B6775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622D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91</w:t>
            </w:r>
          </w:p>
          <w:p w:rsidR="002B232B" w:rsidRDefault="002B232B" w:rsidP="003B6775">
            <w:pPr>
              <w:pStyle w:val="2"/>
              <w:tabs>
                <w:tab w:val="left" w:pos="855"/>
                <w:tab w:val="right" w:pos="4892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232B" w:rsidRDefault="002B232B" w:rsidP="002B232B">
      <w:pPr>
        <w:tabs>
          <w:tab w:val="left" w:pos="3960"/>
        </w:tabs>
        <w:ind w:right="5215"/>
        <w:jc w:val="right"/>
        <w:rPr>
          <w:sz w:val="24"/>
          <w:szCs w:val="24"/>
        </w:rPr>
      </w:pPr>
    </w:p>
    <w:p w:rsidR="009D5997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2B232B">
        <w:rPr>
          <w:b/>
          <w:sz w:val="24"/>
          <w:szCs w:val="24"/>
        </w:rPr>
        <w:t>Об  утверждении основных  направлений</w:t>
      </w:r>
    </w:p>
    <w:p w:rsidR="002B232B" w:rsidRDefault="009D5997" w:rsidP="009D5997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бюджетной </w:t>
      </w:r>
      <w:r w:rsidR="002B232B" w:rsidRPr="002B232B">
        <w:rPr>
          <w:b/>
          <w:sz w:val="24"/>
          <w:szCs w:val="24"/>
        </w:rPr>
        <w:t xml:space="preserve">и налоговой политики  </w:t>
      </w:r>
    </w:p>
    <w:p w:rsidR="002B232B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«Н</w:t>
      </w:r>
      <w:r>
        <w:rPr>
          <w:b/>
          <w:sz w:val="24"/>
          <w:szCs w:val="24"/>
        </w:rPr>
        <w:t>азин</w:t>
      </w:r>
      <w:r w:rsidRPr="002B232B">
        <w:rPr>
          <w:b/>
          <w:sz w:val="24"/>
          <w:szCs w:val="24"/>
        </w:rPr>
        <w:t>ское сель</w:t>
      </w:r>
      <w:r>
        <w:rPr>
          <w:b/>
          <w:sz w:val="24"/>
          <w:szCs w:val="24"/>
        </w:rPr>
        <w:t xml:space="preserve">ское поселение» </w:t>
      </w:r>
    </w:p>
    <w:p w:rsidR="002B232B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2023 год и плановый период 2024 и 2025 </w:t>
      </w:r>
      <w:r w:rsidRPr="002B232B">
        <w:rPr>
          <w:b/>
          <w:sz w:val="24"/>
          <w:szCs w:val="24"/>
        </w:rPr>
        <w:t>год</w:t>
      </w:r>
      <w:r w:rsidR="009D5997">
        <w:rPr>
          <w:b/>
          <w:sz w:val="24"/>
          <w:szCs w:val="24"/>
        </w:rPr>
        <w:t>ов</w:t>
      </w:r>
    </w:p>
    <w:p w:rsidR="009D5997" w:rsidRPr="002B232B" w:rsidRDefault="009D5997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</w:p>
    <w:p w:rsidR="009D5997" w:rsidRDefault="009D5997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9D5997">
        <w:rPr>
          <w:sz w:val="24"/>
          <w:szCs w:val="24"/>
        </w:rPr>
        <w:t>В соответствии со статьей 172 Бюджетного кодекса Российской Федерации, Положением «О бюджетном процессе в Муниципальном образовании «Н</w:t>
      </w:r>
      <w:r>
        <w:rPr>
          <w:sz w:val="24"/>
          <w:szCs w:val="24"/>
        </w:rPr>
        <w:t>азин</w:t>
      </w:r>
      <w:r w:rsidRPr="009D5997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>,</w:t>
      </w:r>
      <w:r w:rsidRPr="009D5997">
        <w:rPr>
          <w:sz w:val="24"/>
          <w:szCs w:val="24"/>
        </w:rPr>
        <w:t xml:space="preserve"> </w:t>
      </w:r>
      <w:r w:rsidRPr="00622D51">
        <w:rPr>
          <w:sz w:val="24"/>
          <w:szCs w:val="24"/>
        </w:rPr>
        <w:t xml:space="preserve">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2025 года, </w:t>
      </w:r>
    </w:p>
    <w:p w:rsidR="00622D51" w:rsidRP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2B232B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622D51">
        <w:rPr>
          <w:sz w:val="24"/>
          <w:szCs w:val="24"/>
        </w:rPr>
        <w:t>ПОСТАНОВЛЯЮ:</w:t>
      </w:r>
    </w:p>
    <w:p w:rsid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9D5997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997" w:rsidRPr="009D5997">
        <w:rPr>
          <w:sz w:val="24"/>
          <w:szCs w:val="24"/>
        </w:rPr>
        <w:t>Утвердить основные  направления  бюджетной и налоговой политики  Муниципального образования «Н</w:t>
      </w:r>
      <w:r w:rsidR="009D5997">
        <w:rPr>
          <w:sz w:val="24"/>
          <w:szCs w:val="24"/>
        </w:rPr>
        <w:t>азин</w:t>
      </w:r>
      <w:r w:rsidR="009D5997" w:rsidRPr="009D5997">
        <w:rPr>
          <w:sz w:val="24"/>
          <w:szCs w:val="24"/>
        </w:rPr>
        <w:t>ское сельское поселение»  на  2023 год и плановый период 2024 и 2025 годов</w:t>
      </w:r>
      <w:r w:rsidR="009D5997">
        <w:rPr>
          <w:sz w:val="24"/>
          <w:szCs w:val="24"/>
        </w:rPr>
        <w:t xml:space="preserve"> </w:t>
      </w:r>
      <w:r w:rsidR="009D5997" w:rsidRPr="009D5997">
        <w:rPr>
          <w:sz w:val="24"/>
          <w:szCs w:val="24"/>
        </w:rPr>
        <w:t>согласно  приложению  к  настоящему  постановлению</w:t>
      </w:r>
      <w:r w:rsidR="009D5997">
        <w:rPr>
          <w:sz w:val="24"/>
          <w:szCs w:val="24"/>
        </w:rPr>
        <w:t>.</w:t>
      </w:r>
    </w:p>
    <w:p w:rsidR="002B232B" w:rsidRDefault="009D5997" w:rsidP="009D5997">
      <w:pPr>
        <w:tabs>
          <w:tab w:val="left" w:pos="3960"/>
        </w:tabs>
        <w:ind w:left="540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B232B">
        <w:rPr>
          <w:sz w:val="24"/>
          <w:szCs w:val="24"/>
        </w:rPr>
        <w:t>Контроль за</w:t>
      </w:r>
      <w:proofErr w:type="gramEnd"/>
      <w:r w:rsidR="002B232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5385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Назинского сельского поселения                                            </w:t>
      </w:r>
      <w:r w:rsidR="009D5997">
        <w:rPr>
          <w:sz w:val="24"/>
          <w:szCs w:val="24"/>
        </w:rPr>
        <w:t>И.С. Мозговая</w:t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</w:p>
    <w:p w:rsidR="002B232B" w:rsidRDefault="002B232B" w:rsidP="002B232B">
      <w:r>
        <w:rPr>
          <w:sz w:val="24"/>
          <w:szCs w:val="24"/>
        </w:rPr>
        <w:br w:type="page"/>
      </w:r>
    </w:p>
    <w:p w:rsidR="004214FF" w:rsidRPr="004214FF" w:rsidRDefault="00911B61" w:rsidP="004214FF">
      <w:pPr>
        <w:ind w:left="5387" w:right="-868" w:firstLine="567"/>
        <w:rPr>
          <w:bCs/>
          <w:sz w:val="24"/>
          <w:szCs w:val="24"/>
        </w:rPr>
      </w:pPr>
      <w:r w:rsidRPr="00911B61">
        <w:rPr>
          <w:sz w:val="24"/>
          <w:szCs w:val="24"/>
        </w:rPr>
        <w:lastRenderedPageBreak/>
        <w:t xml:space="preserve">                                                          </w:t>
      </w:r>
      <w:r w:rsidR="004214FF">
        <w:rPr>
          <w:sz w:val="24"/>
          <w:szCs w:val="24"/>
        </w:rPr>
        <w:t xml:space="preserve">                           </w:t>
      </w:r>
      <w:r w:rsidR="004214FF" w:rsidRPr="004214FF">
        <w:rPr>
          <w:bCs/>
          <w:sz w:val="24"/>
          <w:szCs w:val="24"/>
        </w:rPr>
        <w:t>Приложение</w:t>
      </w:r>
    </w:p>
    <w:p w:rsidR="004214FF" w:rsidRDefault="004214FF" w:rsidP="004214FF">
      <w:pPr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Утверждено </w:t>
      </w:r>
      <w:r>
        <w:rPr>
          <w:bCs/>
          <w:sz w:val="24"/>
          <w:szCs w:val="24"/>
        </w:rPr>
        <w:t>постановлен</w:t>
      </w:r>
      <w:r w:rsidRPr="004214FF">
        <w:rPr>
          <w:bCs/>
          <w:sz w:val="24"/>
          <w:szCs w:val="24"/>
        </w:rPr>
        <w:t xml:space="preserve">ием </w:t>
      </w:r>
    </w:p>
    <w:p w:rsidR="004214FF" w:rsidRPr="004214FF" w:rsidRDefault="004214FF" w:rsidP="004214FF">
      <w:pPr>
        <w:ind w:left="5954" w:right="-868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Назинского</w:t>
      </w:r>
    </w:p>
    <w:p w:rsidR="004214FF" w:rsidRPr="004214FF" w:rsidRDefault="004214FF" w:rsidP="004214FF">
      <w:pPr>
        <w:tabs>
          <w:tab w:val="left" w:pos="5387"/>
        </w:tabs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сельского поселения </w:t>
      </w:r>
    </w:p>
    <w:p w:rsidR="004214FF" w:rsidRPr="004214FF" w:rsidRDefault="004214FF" w:rsidP="004214FF">
      <w:pPr>
        <w:ind w:left="5387" w:right="-868"/>
        <w:rPr>
          <w:sz w:val="24"/>
          <w:szCs w:val="24"/>
        </w:rPr>
      </w:pPr>
      <w:r w:rsidRPr="004214FF">
        <w:rPr>
          <w:bCs/>
          <w:sz w:val="24"/>
          <w:szCs w:val="24"/>
        </w:rPr>
        <w:t xml:space="preserve">от </w:t>
      </w:r>
      <w:r w:rsidR="00622D51">
        <w:rPr>
          <w:bCs/>
          <w:sz w:val="24"/>
          <w:szCs w:val="24"/>
        </w:rPr>
        <w:t>08.11</w:t>
      </w:r>
      <w:r w:rsidRPr="004214FF">
        <w:rPr>
          <w:bCs/>
          <w:sz w:val="24"/>
          <w:szCs w:val="24"/>
        </w:rPr>
        <w:t xml:space="preserve">.2022 г. № </w:t>
      </w:r>
      <w:r w:rsidR="00622D51">
        <w:rPr>
          <w:bCs/>
          <w:sz w:val="24"/>
          <w:szCs w:val="24"/>
        </w:rPr>
        <w:t>91</w:t>
      </w:r>
      <w:bookmarkStart w:id="0" w:name="_GoBack"/>
      <w:bookmarkEnd w:id="0"/>
    </w:p>
    <w:p w:rsidR="009D5997" w:rsidRPr="009D5997" w:rsidRDefault="009D5997" w:rsidP="004214FF">
      <w:pPr>
        <w:keepNext/>
        <w:keepLines/>
        <w:tabs>
          <w:tab w:val="left" w:pos="5387"/>
        </w:tabs>
        <w:spacing w:after="12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11B61" w:rsidRP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</w:t>
      </w:r>
      <w:r w:rsidRPr="00911B61">
        <w:rPr>
          <w:rFonts w:eastAsia="Calibri"/>
          <w:b/>
          <w:bCs/>
          <w:sz w:val="24"/>
          <w:szCs w:val="24"/>
          <w:lang w:eastAsia="en-US"/>
        </w:rPr>
        <w:t>сновны</w:t>
      </w:r>
      <w:r>
        <w:rPr>
          <w:rFonts w:eastAsia="Calibri"/>
          <w:b/>
          <w:bCs/>
          <w:sz w:val="24"/>
          <w:szCs w:val="24"/>
          <w:lang w:eastAsia="en-US"/>
        </w:rPr>
        <w:t>е</w:t>
      </w: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направлени</w:t>
      </w:r>
      <w:r>
        <w:rPr>
          <w:rFonts w:eastAsia="Calibri"/>
          <w:b/>
          <w:bCs/>
          <w:sz w:val="24"/>
          <w:szCs w:val="24"/>
          <w:lang w:eastAsia="en-US"/>
        </w:rPr>
        <w:t>я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бюджетной и налоговой политики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«Н</w:t>
      </w:r>
      <w:r>
        <w:rPr>
          <w:b/>
          <w:sz w:val="24"/>
          <w:szCs w:val="24"/>
        </w:rPr>
        <w:t>азин</w:t>
      </w:r>
      <w:r w:rsidRPr="002B232B">
        <w:rPr>
          <w:b/>
          <w:sz w:val="24"/>
          <w:szCs w:val="24"/>
        </w:rPr>
        <w:t>ское сель</w:t>
      </w:r>
      <w:r>
        <w:rPr>
          <w:b/>
          <w:sz w:val="24"/>
          <w:szCs w:val="24"/>
        </w:rPr>
        <w:t xml:space="preserve">ское поселение»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2023 год и плановый период 2024 и 2025 </w:t>
      </w:r>
      <w:r w:rsidRPr="002B232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ов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11B6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D5997">
        <w:rPr>
          <w:rFonts w:eastAsia="Calibri"/>
          <w:sz w:val="24"/>
          <w:szCs w:val="24"/>
          <w:lang w:eastAsia="en-US"/>
        </w:rPr>
        <w:t xml:space="preserve">Основные направления бюджетной и налоговой политики Муниципального образования </w:t>
      </w:r>
      <w:r w:rsidR="00911B61">
        <w:rPr>
          <w:rFonts w:eastAsia="Calibri"/>
          <w:sz w:val="24"/>
          <w:szCs w:val="24"/>
          <w:lang w:eastAsia="en-US"/>
        </w:rPr>
        <w:t>«</w:t>
      </w:r>
      <w:r w:rsidRPr="009D5997">
        <w:rPr>
          <w:rFonts w:eastAsia="Calibri"/>
          <w:sz w:val="24"/>
          <w:szCs w:val="24"/>
          <w:lang w:eastAsia="en-US"/>
        </w:rPr>
        <w:t>Н</w:t>
      </w:r>
      <w:r w:rsidR="00911B61">
        <w:rPr>
          <w:rFonts w:eastAsia="Calibri"/>
          <w:sz w:val="24"/>
          <w:szCs w:val="24"/>
          <w:lang w:eastAsia="en-US"/>
        </w:rPr>
        <w:t>азин</w:t>
      </w:r>
      <w:r w:rsidRPr="009D5997">
        <w:rPr>
          <w:rFonts w:eastAsia="Calibri"/>
          <w:sz w:val="24"/>
          <w:szCs w:val="24"/>
          <w:lang w:eastAsia="en-US"/>
        </w:rPr>
        <w:t>ское сельское поселение</w:t>
      </w:r>
      <w:r w:rsidR="00911B61">
        <w:rPr>
          <w:rFonts w:eastAsia="Calibri"/>
          <w:sz w:val="24"/>
          <w:szCs w:val="24"/>
          <w:lang w:eastAsia="en-US"/>
        </w:rPr>
        <w:t>»</w:t>
      </w:r>
      <w:r w:rsidRPr="009D5997">
        <w:rPr>
          <w:rFonts w:eastAsia="Calibri"/>
          <w:sz w:val="24"/>
          <w:szCs w:val="24"/>
          <w:lang w:eastAsia="en-US"/>
        </w:rPr>
        <w:t xml:space="preserve"> 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на  2023 год и плановый период 2024 и 2025 годов </w:t>
      </w:r>
      <w:r w:rsidRPr="009D5997">
        <w:rPr>
          <w:rFonts w:eastAsia="Calibri"/>
          <w:sz w:val="24"/>
          <w:szCs w:val="24"/>
          <w:lang w:eastAsia="en-US"/>
        </w:rPr>
        <w:t xml:space="preserve">подготовлены в  соответствии со статьей 172 Бюджетного кодекса Российской Федерации, Положением «О бюджетном процессе </w:t>
      </w:r>
      <w:r w:rsidR="00911B61" w:rsidRPr="00911B61">
        <w:rPr>
          <w:rFonts w:eastAsia="Calibri"/>
          <w:sz w:val="24"/>
          <w:szCs w:val="24"/>
          <w:lang w:eastAsia="en-US"/>
        </w:rPr>
        <w:t>в муниципальном образовании «Назинское сельское поселение»</w:t>
      </w:r>
      <w:r w:rsidR="00911B61">
        <w:rPr>
          <w:rFonts w:eastAsia="Calibri"/>
          <w:sz w:val="24"/>
          <w:szCs w:val="24"/>
          <w:lang w:eastAsia="en-US"/>
        </w:rPr>
        <w:t>,</w:t>
      </w:r>
      <w:r w:rsidRPr="009D5997">
        <w:rPr>
          <w:rFonts w:eastAsia="Calibri"/>
          <w:sz w:val="24"/>
          <w:szCs w:val="24"/>
          <w:lang w:eastAsia="en-US"/>
        </w:rPr>
        <w:t xml:space="preserve"> разработаны 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</w:t>
      </w:r>
      <w:proofErr w:type="gramEnd"/>
      <w:r w:rsidRPr="009D5997">
        <w:rPr>
          <w:rFonts w:eastAsia="Calibri"/>
          <w:sz w:val="24"/>
          <w:szCs w:val="24"/>
          <w:lang w:eastAsia="en-US"/>
        </w:rPr>
        <w:t xml:space="preserve"> Российской Федерации на период до 202</w:t>
      </w:r>
      <w:r w:rsidR="00911B61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года, а также задач, сформулированных в 202</w:t>
      </w:r>
      <w:r w:rsidR="00911B61">
        <w:rPr>
          <w:rFonts w:eastAsia="Calibri"/>
          <w:sz w:val="24"/>
          <w:szCs w:val="24"/>
          <w:lang w:eastAsia="en-US"/>
        </w:rPr>
        <w:t>3</w:t>
      </w:r>
      <w:r w:rsidRPr="009D5997">
        <w:rPr>
          <w:rFonts w:eastAsia="Calibri"/>
          <w:sz w:val="24"/>
          <w:szCs w:val="24"/>
          <w:lang w:eastAsia="en-US"/>
        </w:rPr>
        <w:t xml:space="preserve"> году в Указах Президента Российской Федерации.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итоги налоговой и  бюджетной политики</w:t>
      </w:r>
    </w:p>
    <w:p w:rsidR="009D5997" w:rsidRPr="009D5997" w:rsidRDefault="009D5997" w:rsidP="009D5997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201</w:t>
      </w:r>
      <w:r w:rsidR="00447BF4">
        <w:rPr>
          <w:rFonts w:eastAsia="Calibri"/>
          <w:sz w:val="24"/>
          <w:szCs w:val="24"/>
          <w:lang w:eastAsia="en-US"/>
        </w:rPr>
        <w:t>8</w:t>
      </w:r>
      <w:r w:rsidRPr="009D5997">
        <w:rPr>
          <w:rFonts w:eastAsia="Calibri"/>
          <w:sz w:val="24"/>
          <w:szCs w:val="24"/>
          <w:lang w:eastAsia="en-US"/>
        </w:rPr>
        <w:t xml:space="preserve"> году и начале 201</w:t>
      </w:r>
      <w:r w:rsidR="00447BF4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года бюджетная и налоговая политика сельского поселения реализовывалась в непростых экономических условиях и в первую очередь была направлена на обеспечение сбалансированности и устойчивости бюджетной системы, а также на содействие социальному и экономическому развитию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Несмотря на общероссийскую тенденцию замедления темпов экономического роста состояние экономики сельского поселения в 201</w:t>
      </w:r>
      <w:r w:rsidR="00447BF4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году позволило сохранить положительную динамику наполнения бюджета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текущем году положительная динамика роста налоговых и неналогов</w:t>
      </w:r>
      <w:r w:rsidR="00605F76">
        <w:rPr>
          <w:rFonts w:eastAsia="Calibri"/>
          <w:sz w:val="24"/>
          <w:szCs w:val="24"/>
          <w:lang w:eastAsia="en-US"/>
        </w:rPr>
        <w:t xml:space="preserve">ых доходов бюджета сохраняется </w:t>
      </w:r>
      <w:r w:rsidRPr="009D5997">
        <w:rPr>
          <w:rFonts w:eastAsia="Calibri"/>
          <w:sz w:val="24"/>
          <w:szCs w:val="24"/>
          <w:lang w:eastAsia="en-US"/>
        </w:rPr>
        <w:t>(см. таблицу №1):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Таблица №1.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2255"/>
        <w:gridCol w:w="1621"/>
        <w:gridCol w:w="2321"/>
      </w:tblGrid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Кто  уплачивает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Норматив зачисления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Объем поступлений  в  бюджет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423 605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259 880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364 431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327 783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330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>316 000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333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58646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353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Акцизы 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541 348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641 353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602 706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-  712 514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726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771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838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605F7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887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12 290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18 120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4 010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11 820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18 0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605F7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имущество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15 582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23 833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10 282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11 686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18 0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447BF4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землю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Юридические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6 25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7 52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4 726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2 042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собственности, доходы от оказания платных услуг  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53 441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40 872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53 017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4 011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447BF4" w:rsidP="00C752E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В прогнозном периоде </w:t>
      </w:r>
      <w:r w:rsidRPr="00447BF4">
        <w:rPr>
          <w:rFonts w:eastAsia="Calibri"/>
          <w:sz w:val="24"/>
          <w:szCs w:val="24"/>
          <w:lang w:eastAsia="en-US"/>
        </w:rPr>
        <w:t xml:space="preserve">на  2023 год и плановый период 2024 и 2025 годов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предполагается незначительный ежегодный рост налоговых и неналоговых доходов местного бюджета в основном за счет роста поступлений </w:t>
      </w:r>
      <w:proofErr w:type="gramStart"/>
      <w:r w:rsidR="009D5997" w:rsidRPr="009D5997">
        <w:rPr>
          <w:rFonts w:eastAsia="Calibri"/>
          <w:sz w:val="24"/>
          <w:szCs w:val="24"/>
          <w:lang w:eastAsia="en-US"/>
        </w:rPr>
        <w:t>от</w:t>
      </w:r>
      <w:proofErr w:type="gramEnd"/>
      <w:r w:rsidR="009D5997" w:rsidRPr="009D5997">
        <w:rPr>
          <w:rFonts w:eastAsia="Calibri"/>
          <w:sz w:val="24"/>
          <w:szCs w:val="24"/>
          <w:lang w:eastAsia="en-US"/>
        </w:rPr>
        <w:t>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акцизов по подакцизным товарам (продукции), производимым на территории Российской Федерации;   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доходы 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имущество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землю.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В целях расширения налогооблагаемой базы, увеличения поступлений налога на доходы физических лиц в бюджет сельского поселения администрацией сельского поселения будет продолжена работа по легализации </w:t>
      </w:r>
      <w:hyperlink r:id="rId8" w:tooltip="Заработная плата" w:history="1">
        <w:r w:rsidR="009D5997" w:rsidRPr="009D5997">
          <w:rPr>
            <w:rFonts w:eastAsia="Calibri"/>
            <w:color w:val="0066CC"/>
            <w:sz w:val="24"/>
            <w:szCs w:val="24"/>
            <w:u w:val="single"/>
            <w:bdr w:val="none" w:sz="0" w:space="0" w:color="auto" w:frame="1"/>
            <w:lang w:eastAsia="en-US"/>
          </w:rPr>
          <w:t>заработной платы</w:t>
        </w:r>
      </w:hyperlink>
      <w:r w:rsidR="009D5997" w:rsidRPr="009D5997">
        <w:rPr>
          <w:rFonts w:eastAsia="Calibri"/>
          <w:color w:val="000000"/>
          <w:sz w:val="24"/>
          <w:szCs w:val="24"/>
          <w:lang w:eastAsia="en-US"/>
        </w:rPr>
        <w:t>, выплачиваемой работодателями, и по своевременной и полной оплате налогов предприятиями, являющимися основными налогоплательщиками на территории сельского поселения.</w:t>
      </w:r>
    </w:p>
    <w:p w:rsidR="009D5997" w:rsidRPr="009D5997" w:rsidRDefault="00447BF4" w:rsidP="009D5997">
      <w:pPr>
        <w:jc w:val="both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9D5997" w:rsidRPr="009D5997">
        <w:rPr>
          <w:b/>
          <w:bCs/>
          <w:color w:val="000000"/>
          <w:sz w:val="24"/>
          <w:szCs w:val="24"/>
          <w:bdr w:val="none" w:sz="0" w:space="0" w:color="auto" w:frame="1"/>
        </w:rPr>
        <w:t>Земельный налог</w:t>
      </w:r>
      <w:r w:rsidR="009D5997" w:rsidRPr="009D5997">
        <w:rPr>
          <w:color w:val="000000"/>
          <w:sz w:val="24"/>
          <w:szCs w:val="24"/>
        </w:rPr>
        <w:t xml:space="preserve"> устанавливается решением Совета депутатов сельского поселения на  основании Налогового кодекса РФ и  обязателен к уплате на территории сельского поселения. В  соответствии с Бюджетным кодексом Российской Федерации в бюджет сельского поселения  </w:t>
      </w:r>
      <w:hyperlink r:id="rId9" w:tooltip="Земельный налог" w:history="1">
        <w:r w:rsidR="009D5997" w:rsidRPr="009D5997">
          <w:rPr>
            <w:color w:val="0066CC"/>
            <w:sz w:val="24"/>
            <w:szCs w:val="24"/>
            <w:u w:val="single"/>
            <w:bdr w:val="none" w:sz="0" w:space="0" w:color="auto" w:frame="1"/>
          </w:rPr>
          <w:t>земельный налог</w:t>
        </w:r>
      </w:hyperlink>
      <w:r w:rsidR="009D5997" w:rsidRPr="009D5997">
        <w:rPr>
          <w:color w:val="000000"/>
          <w:sz w:val="24"/>
          <w:szCs w:val="24"/>
        </w:rPr>
        <w:t xml:space="preserve"> зачисляется по нормативу 100 процентов.</w:t>
      </w:r>
    </w:p>
    <w:p w:rsidR="009D5997" w:rsidRPr="009D5997" w:rsidRDefault="00447BF4" w:rsidP="00447BF4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9D5997" w:rsidRPr="009D5997">
        <w:rPr>
          <w:color w:val="000000"/>
          <w:sz w:val="24"/>
          <w:szCs w:val="24"/>
        </w:rPr>
        <w:t xml:space="preserve">Расчет налога на имущество физических лиц будет исходить из кадастровой стоимости, которая наиболее приближена к </w:t>
      </w:r>
      <w:hyperlink r:id="rId10" w:tooltip="Рыночная стоимость" w:history="1">
        <w:r w:rsidR="009D5997" w:rsidRPr="009D5997">
          <w:rPr>
            <w:color w:val="0066CC"/>
            <w:sz w:val="24"/>
            <w:szCs w:val="24"/>
            <w:u w:val="single"/>
            <w:bdr w:val="none" w:sz="0" w:space="0" w:color="auto" w:frame="1"/>
          </w:rPr>
          <w:t>рыночной стоимости</w:t>
        </w:r>
      </w:hyperlink>
      <w:r w:rsidR="009D5997" w:rsidRPr="009D5997">
        <w:rPr>
          <w:sz w:val="24"/>
          <w:szCs w:val="24"/>
        </w:rPr>
        <w:t xml:space="preserve"> </w:t>
      </w:r>
      <w:hyperlink r:id="rId11" w:tooltip="Объекты недвижимости" w:history="1">
        <w:r w:rsidR="009D5997" w:rsidRPr="009D5997">
          <w:rPr>
            <w:color w:val="0066CC"/>
            <w:sz w:val="24"/>
            <w:szCs w:val="24"/>
            <w:u w:val="single"/>
            <w:bdr w:val="none" w:sz="0" w:space="0" w:color="auto" w:frame="1"/>
          </w:rPr>
          <w:t>объектов недвижимости</w:t>
        </w:r>
      </w:hyperlink>
      <w:r w:rsidR="009D5997" w:rsidRPr="009D5997">
        <w:rPr>
          <w:color w:val="000000"/>
          <w:sz w:val="24"/>
          <w:szCs w:val="24"/>
        </w:rPr>
        <w:t>.</w:t>
      </w:r>
    </w:p>
    <w:p w:rsidR="009D5997" w:rsidRPr="009D5997" w:rsidRDefault="009D5997" w:rsidP="009D5997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Налоговые ставки установлены решением Совета депутатов сельского поселения, в пределах установленных Налоговым кодексом Российской Федерации ограничений.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целях расширения налогооблагаемой базы по земельному налогу  и налогу на имущество физических лиц планируется продолжение работы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-по повышению качества проводимой органам местного самоуправления работы по актуализации перечня объектов недвижимого имущества, в отношении которых налоговая база определяется как кадастровая стоимость; 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 - </w:t>
      </w:r>
      <w:proofErr w:type="gramStart"/>
      <w:r w:rsidR="009D5997" w:rsidRPr="009D5997">
        <w:rPr>
          <w:rFonts w:eastAsia="Calibri"/>
          <w:sz w:val="24"/>
          <w:szCs w:val="24"/>
          <w:lang w:eastAsia="en-US"/>
        </w:rPr>
        <w:t>по вовлечению в налоговый оборот новых объектов налогообложения за счет проведения разъяснительной работы о необходимости их государственной регистрации в органах</w:t>
      </w:r>
      <w:proofErr w:type="gramEnd"/>
      <w:r w:rsidR="009D5997" w:rsidRPr="009D599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D5997" w:rsidRPr="009D5997">
        <w:rPr>
          <w:rFonts w:eastAsia="Calibri"/>
          <w:sz w:val="24"/>
          <w:szCs w:val="24"/>
          <w:lang w:eastAsia="en-US"/>
        </w:rPr>
        <w:t>Росреестра</w:t>
      </w:r>
      <w:proofErr w:type="spellEnd"/>
      <w:r w:rsidR="009D5997" w:rsidRPr="009D5997">
        <w:rPr>
          <w:rFonts w:eastAsia="Calibri"/>
          <w:sz w:val="24"/>
          <w:szCs w:val="24"/>
          <w:lang w:eastAsia="en-US"/>
        </w:rPr>
        <w:t xml:space="preserve">.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целом стабильное поступление собственных доходов бюджета обеспечивает устойчивость бюджетной системы и социальную стабильность в поселении.</w:t>
      </w:r>
    </w:p>
    <w:p w:rsidR="009D5997" w:rsidRPr="009D5997" w:rsidRDefault="009D5997" w:rsidP="009D5997">
      <w:pPr>
        <w:autoSpaceDE w:val="0"/>
        <w:autoSpaceDN w:val="0"/>
        <w:adjustRightInd w:val="0"/>
        <w:ind w:right="141" w:firstLine="360"/>
        <w:jc w:val="both"/>
        <w:rPr>
          <w:rFonts w:eastAsia="Calibri"/>
          <w:sz w:val="24"/>
          <w:szCs w:val="24"/>
          <w:lang w:eastAsia="en-US"/>
        </w:rPr>
      </w:pPr>
      <w:r w:rsidRPr="005B0D38">
        <w:rPr>
          <w:rFonts w:eastAsia="Calibri"/>
          <w:sz w:val="24"/>
          <w:szCs w:val="24"/>
          <w:lang w:eastAsia="en-US"/>
        </w:rPr>
        <w:lastRenderedPageBreak/>
        <w:t>Органами местного самоуправления продолжена работа по повышению эффективности бюджетных расходов с целью концентрации ресурсов наиболее значимых с точки зрения социально-экономического эффекта.</w:t>
      </w:r>
    </w:p>
    <w:p w:rsidR="009D5997" w:rsidRPr="009D5997" w:rsidRDefault="009D5997" w:rsidP="009D599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задачи бюджетной и налоговой политики.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</w:t>
      </w:r>
      <w:r w:rsidR="00447BF4" w:rsidRPr="00622D51">
        <w:rPr>
          <w:rFonts w:eastAsia="Calibri"/>
          <w:sz w:val="24"/>
          <w:szCs w:val="24"/>
          <w:lang w:eastAsia="en-US"/>
        </w:rPr>
        <w:t>период на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 2023 год и плановый период 2024 и 2025 годов</w:t>
      </w:r>
      <w:r w:rsidRPr="009D5997">
        <w:rPr>
          <w:rFonts w:eastAsia="Calibri"/>
          <w:sz w:val="24"/>
          <w:szCs w:val="24"/>
          <w:lang w:eastAsia="en-US"/>
        </w:rPr>
        <w:t xml:space="preserve"> бюджетная и налоговая политика МО «Н</w:t>
      </w:r>
      <w:r w:rsidR="00447BF4">
        <w:rPr>
          <w:rFonts w:eastAsia="Calibri"/>
          <w:sz w:val="24"/>
          <w:szCs w:val="24"/>
          <w:lang w:eastAsia="en-US"/>
        </w:rPr>
        <w:t>азинское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С учетом этого в среднесрочной перспективе 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1) Обеспечение сбалансированности и устойчивости бюджетной системы МО «Н</w:t>
      </w:r>
      <w:r>
        <w:rPr>
          <w:rFonts w:eastAsia="Calibri"/>
          <w:sz w:val="24"/>
          <w:szCs w:val="24"/>
          <w:lang w:eastAsia="en-US"/>
        </w:rPr>
        <w:t>азин</w:t>
      </w:r>
      <w:r w:rsidR="009D5997" w:rsidRPr="009D5997">
        <w:rPr>
          <w:rFonts w:eastAsia="Calibri"/>
          <w:sz w:val="24"/>
          <w:szCs w:val="24"/>
          <w:lang w:eastAsia="en-US"/>
        </w:rPr>
        <w:t>ское сельское поселение».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Составление проекта бюджета на предстоящие три года должно базироваться на реальной экономической ситуации. Наряду с этим необходимо принять меры по исключению необоснованного роста расходов.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Все предложения по обеспечению принимаемых расходных обязательств должны содержать указания на конкретные результаты использования бюджетных ассигнований и источники их финансового обеспечения.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2) </w:t>
      </w:r>
      <w:proofErr w:type="spellStart"/>
      <w:r w:rsidR="009D5997" w:rsidRPr="009D5997">
        <w:rPr>
          <w:rFonts w:eastAsia="Calibri"/>
          <w:sz w:val="24"/>
          <w:szCs w:val="24"/>
          <w:lang w:eastAsia="en-US"/>
        </w:rPr>
        <w:t>Приоритезация</w:t>
      </w:r>
      <w:proofErr w:type="spellEnd"/>
      <w:r w:rsidR="009D5997" w:rsidRPr="009D5997">
        <w:rPr>
          <w:rFonts w:eastAsia="Calibri"/>
          <w:sz w:val="24"/>
          <w:szCs w:val="24"/>
          <w:lang w:eastAsia="en-US"/>
        </w:rPr>
        <w:t xml:space="preserve"> бюджетных расходов.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При составлении проекта бюджета сельского поселения  следует обеспечить оптимальность структуры бюджетных расходов. Ограниченные 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обозначенных социальными Указами Президента страны.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3) Сохранение режима экономии бюджетных средств.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При исполнении бюджета сельского поселения необходимо обеспечить максимальную экономию бюджетных средств за счет их рационального использования. Для этого должны быть сохранены сдерживающие механизмы, обеспечивающие приоритетное финансирование первоочередных и социально-значимых обязательств.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Одновременно следует продолжить ежемесячный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4) Усиление роли программно-целевых методов при осуществлении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предстоящем периоде необходимо обеспечить внедрение программно-целевых принципов организации деятельности органов местного самоуправления.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 учетом этого необходимо разработать порядок принятия муниципальных программ  поселения и программы поселения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>5) Повышение прозрачности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Процесс формирования и исполнения бюджета сельского поселения должен стать более открытым и понятным для каждого  жителя поселения. Для этого необходимо обеспечить проведение общественного обсуждения проекта бюджета и отчета об исполнении бюджета с жителями поселения, а также обеспечить регулярное размещение на сайте поселения материалов по бюджету поселения.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 xml:space="preserve">3. Основные направления налоговой политики и подходы </w:t>
      </w:r>
    </w:p>
    <w:p w:rsidR="009D5997" w:rsidRPr="009D5997" w:rsidRDefault="00447BF4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</w:t>
      </w:r>
      <w:r w:rsidR="009D5997" w:rsidRPr="009D5997">
        <w:rPr>
          <w:rFonts w:eastAsia="Calibri"/>
          <w:b/>
          <w:bCs/>
          <w:sz w:val="24"/>
          <w:szCs w:val="24"/>
          <w:lang w:eastAsia="en-US"/>
        </w:rPr>
        <w:t xml:space="preserve"> формированию доходов бюджета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 Главной задачей налоговой политики сельского поселения  является содействие росту доходов бюджетной системы в целях полного выполнения расходных обязательств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С учетом этого налоговая политика поселения </w:t>
      </w:r>
      <w:r w:rsidR="00893B4B" w:rsidRPr="00893B4B">
        <w:rPr>
          <w:rFonts w:eastAsia="Calibri"/>
          <w:sz w:val="24"/>
          <w:szCs w:val="24"/>
          <w:lang w:eastAsia="en-US"/>
        </w:rPr>
        <w:t>на  2023 год и плановый период 2024 и 2025 годов</w:t>
      </w:r>
      <w:r w:rsidRPr="009D5997">
        <w:rPr>
          <w:rFonts w:eastAsia="Calibri"/>
          <w:sz w:val="24"/>
          <w:szCs w:val="24"/>
          <w:lang w:eastAsia="en-US"/>
        </w:rPr>
        <w:t>, как и в прежние годы, будет направлена на повышение эффективности налоговой системы сельского поселения.  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носить детальный характер и в случае необходимости обеспечивать принятия конкретных мер по оптимизации налоговых льгот, имеющих низкую результативность.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сельского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Эффективным инструментом является межведомственное взаимодействие 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Для обеспечения устойчивого исполнения бюджета сельского поселения планирование его доходной части должно основываться на показателях консервативного варианта прогноза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Одновременно при формировании проекта бюджета сельского поселения на предстоящий трехлетний период следует учесть влияние на доходы бюджета федерального налогового законодательства.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997">
        <w:rPr>
          <w:rFonts w:eastAsia="Calibri"/>
          <w:b/>
          <w:sz w:val="24"/>
          <w:szCs w:val="24"/>
          <w:lang w:eastAsia="en-US"/>
        </w:rPr>
        <w:t>4. Основные  направления  бюджетной  политики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B4B">
        <w:rPr>
          <w:rFonts w:eastAsia="Calibri"/>
          <w:color w:val="000000"/>
          <w:sz w:val="24"/>
          <w:szCs w:val="24"/>
          <w:lang w:eastAsia="en-US"/>
        </w:rPr>
        <w:t xml:space="preserve">          4.1.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Основными принципами реализации бюджетной политики будут: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1. Формирование бездефицитного бюджета поселения. Соблюдение принципа означает соразмерность расходов бюджета поселения с поступающими доходами.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2. 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носящих имущественный характер, выполнение задач, поставленных в майских указах Президента Российской Федерации.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br/>
        <w:t>Большинство задач в сфере бюджетной политики, поставленных в предыдущие годы, сохраняют свою актуальность.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4.2.Основными задачами бюджетной политики на 202</w:t>
      </w:r>
      <w:r>
        <w:rPr>
          <w:rFonts w:eastAsia="Calibri"/>
          <w:color w:val="000000"/>
          <w:sz w:val="24"/>
          <w:szCs w:val="24"/>
          <w:lang w:eastAsia="en-US"/>
        </w:rPr>
        <w:t>3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и 202</w:t>
      </w: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являются: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-проведение ответственной бюджетной политики, способствующей обеспечению долгосрочной сбалансированности и устойчивости бюджетной системы поселения и формированию условий для ускорения темпов экономического роста, укреплению финансовой стабильности сельского поселения;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proofErr w:type="gramStart"/>
      <w:r w:rsidRPr="009D5997">
        <w:rPr>
          <w:rFonts w:eastAsia="Calibri"/>
          <w:color w:val="000000"/>
          <w:sz w:val="24"/>
          <w:szCs w:val="24"/>
          <w:lang w:eastAsia="en-US"/>
        </w:rPr>
        <w:t>-и</w:t>
      </w:r>
      <w:proofErr w:type="gramEnd"/>
      <w:r w:rsidRPr="009D5997">
        <w:rPr>
          <w:rFonts w:eastAsia="Calibri"/>
          <w:color w:val="000000"/>
          <w:sz w:val="24"/>
          <w:szCs w:val="24"/>
          <w:lang w:eastAsia="en-US"/>
        </w:rPr>
        <w:t>спользование всех возможностей для привлечения средств внебюджетных источников, а также средств федерального, областного и районного бюджета;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Pr="009D5997">
        <w:rPr>
          <w:rFonts w:eastAsia="Calibri"/>
          <w:color w:val="000000"/>
          <w:sz w:val="24"/>
          <w:szCs w:val="24"/>
          <w:lang w:eastAsia="en-US"/>
        </w:rPr>
        <w:t>-повышение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Pr="009D5997">
        <w:rPr>
          <w:rFonts w:eastAsia="Calibri"/>
          <w:color w:val="000000"/>
          <w:sz w:val="24"/>
          <w:szCs w:val="24"/>
          <w:lang w:eastAsia="en-US"/>
        </w:rPr>
        <w:t>-совершенствование государственной социальной поддержки граждан на основе применения принципа нуждаемости и адресности;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-повышение эффективности реализации муниципальных программ сельского поселения;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-усиление внутреннего муниципального финансового </w:t>
      </w:r>
      <w:proofErr w:type="gramStart"/>
      <w:r w:rsidR="009D5997" w:rsidRPr="009D5997">
        <w:rPr>
          <w:rFonts w:eastAsia="Calibri"/>
          <w:color w:val="000000"/>
          <w:sz w:val="24"/>
          <w:szCs w:val="24"/>
          <w:lang w:eastAsia="en-US"/>
        </w:rPr>
        <w:t>контроля за</w:t>
      </w:r>
      <w:proofErr w:type="gramEnd"/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-размещение в информационно-телекоммуникационной сети "Интернет" информации, связанной с реализацией бюджетного процесса;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-размещение отчетов о ходе реализации и оценке эффективности муниципальных программ сельского поселения на официальном сайте в информационно-телекоммуникационной сети "Интернет".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-внедрение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="009D5997" w:rsidRPr="009D5997">
        <w:rPr>
          <w:rFonts w:eastAsia="Calibri"/>
          <w:color w:val="000000"/>
          <w:sz w:val="24"/>
          <w:szCs w:val="24"/>
          <w:lang w:eastAsia="en-US"/>
        </w:rPr>
        <w:t>контроле за</w:t>
      </w:r>
      <w:proofErr w:type="gramEnd"/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реализацией отобранных проектов.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Бюджетная политика в области расходов на 202</w:t>
      </w:r>
      <w:r w:rsidR="00893B4B">
        <w:rPr>
          <w:rFonts w:eastAsia="Calibri"/>
          <w:color w:val="000000"/>
          <w:sz w:val="24"/>
          <w:szCs w:val="24"/>
          <w:lang w:eastAsia="en-US"/>
        </w:rPr>
        <w:t>3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4 и </w:t>
      </w:r>
      <w:r w:rsidRPr="009D5997">
        <w:rPr>
          <w:rFonts w:eastAsia="Calibri"/>
          <w:color w:val="000000"/>
          <w:sz w:val="24"/>
          <w:szCs w:val="24"/>
          <w:lang w:eastAsia="en-US"/>
        </w:rPr>
        <w:t>202</w:t>
      </w:r>
      <w:r w:rsidR="00893B4B">
        <w:rPr>
          <w:rFonts w:eastAsia="Calibri"/>
          <w:color w:val="000000"/>
          <w:sz w:val="24"/>
          <w:szCs w:val="24"/>
          <w:lang w:eastAsia="en-US"/>
        </w:rPr>
        <w:t>5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будет направлена, в первую очередь, на сохранение социальной направленности бюджета и повышение результативности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Важнейшими задачами бюджетной политики в области расходов являются обеспечение сбалансированности и устойчивости бюджетной системы поселения, безусловное исполнение расходных обязательств местного бюджета, повышение эффективности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4.3. Совершенствование механизмов программно-целевого метода бюджетного планирования.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Следует обеспечить развитие различных инструментов программно-целевого планирования. Требуется дальнейшее совершенствование системы оценки эффективности реализации целевых программ, обеспечивающей </w:t>
      </w:r>
      <w:proofErr w:type="gramStart"/>
      <w:r w:rsidRPr="009D599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9D5997">
        <w:rPr>
          <w:rFonts w:eastAsia="Calibri"/>
          <w:sz w:val="24"/>
          <w:szCs w:val="24"/>
          <w:lang w:eastAsia="en-US"/>
        </w:rPr>
        <w:t xml:space="preserve"> соответствием показателей целевых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целевых программ. Долгосрочные муниципальные программы должны быть ориентированы на решение системных проблем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Бюджетная политика муниципального образования «Н</w:t>
      </w:r>
      <w:r w:rsidR="00893B4B">
        <w:rPr>
          <w:rFonts w:eastAsia="Calibri"/>
          <w:sz w:val="24"/>
          <w:szCs w:val="24"/>
          <w:lang w:eastAsia="en-US"/>
        </w:rPr>
        <w:t>азин</w:t>
      </w:r>
      <w:r w:rsidRPr="009D5997">
        <w:rPr>
          <w:rFonts w:eastAsia="Calibri"/>
          <w:sz w:val="24"/>
          <w:szCs w:val="24"/>
          <w:lang w:eastAsia="en-US"/>
        </w:rPr>
        <w:t xml:space="preserve">ское сельское поселение» </w:t>
      </w:r>
      <w:r w:rsidR="00893B4B" w:rsidRPr="00622D51">
        <w:rPr>
          <w:rFonts w:eastAsia="Calibri"/>
          <w:sz w:val="24"/>
          <w:szCs w:val="24"/>
          <w:lang w:eastAsia="en-US"/>
        </w:rPr>
        <w:t>в</w:t>
      </w:r>
      <w:r w:rsidRPr="009D5997">
        <w:rPr>
          <w:rFonts w:eastAsia="Calibri"/>
          <w:sz w:val="24"/>
          <w:szCs w:val="24"/>
          <w:lang w:eastAsia="en-US"/>
        </w:rPr>
        <w:t xml:space="preserve"> 202</w:t>
      </w:r>
      <w:r w:rsidR="00893B4B">
        <w:rPr>
          <w:rFonts w:eastAsia="Calibri"/>
          <w:sz w:val="24"/>
          <w:szCs w:val="24"/>
          <w:lang w:eastAsia="en-US"/>
        </w:rPr>
        <w:t>3</w:t>
      </w:r>
      <w:r w:rsidR="00557558">
        <w:rPr>
          <w:rFonts w:eastAsia="Calibri"/>
          <w:sz w:val="24"/>
          <w:szCs w:val="24"/>
          <w:lang w:eastAsia="en-US"/>
        </w:rPr>
        <w:t xml:space="preserve"> году и плановом</w:t>
      </w:r>
      <w:r w:rsidRPr="009D5997">
        <w:rPr>
          <w:rFonts w:eastAsia="Calibri"/>
          <w:sz w:val="24"/>
          <w:szCs w:val="24"/>
          <w:lang w:eastAsia="en-US"/>
        </w:rPr>
        <w:t xml:space="preserve"> период</w:t>
      </w:r>
      <w:r w:rsidR="00557558">
        <w:rPr>
          <w:rFonts w:eastAsia="Calibri"/>
          <w:sz w:val="24"/>
          <w:szCs w:val="24"/>
          <w:lang w:eastAsia="en-US"/>
        </w:rPr>
        <w:t>е</w:t>
      </w:r>
      <w:r w:rsidRPr="009D5997">
        <w:rPr>
          <w:rFonts w:eastAsia="Calibri"/>
          <w:sz w:val="24"/>
          <w:szCs w:val="24"/>
          <w:lang w:eastAsia="en-US"/>
        </w:rPr>
        <w:t xml:space="preserve"> 20</w:t>
      </w:r>
      <w:r w:rsidR="00893B4B">
        <w:rPr>
          <w:rFonts w:eastAsia="Calibri"/>
          <w:sz w:val="24"/>
          <w:szCs w:val="24"/>
          <w:lang w:eastAsia="en-US"/>
        </w:rPr>
        <w:t xml:space="preserve">24 и </w:t>
      </w:r>
      <w:r w:rsidRPr="009D5997">
        <w:rPr>
          <w:rFonts w:eastAsia="Calibri"/>
          <w:sz w:val="24"/>
          <w:szCs w:val="24"/>
          <w:lang w:eastAsia="en-US"/>
        </w:rPr>
        <w:t>202</w:t>
      </w:r>
      <w:r w:rsidR="00893B4B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годов должна проводиться в условиях обеспечения достижения запланированных органами местного самоуправления поселения результатов в связи, с чем, исполнительно-распорядительному органу местного самоуправления необходимо: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принять меры по повышению эффективности бюджетного процесса, сбалансированности бюджета, наращиванию налогового потенциала;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продолжить работу по оптимизации и повышению эффективности бюджетных расходов.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ascii="&amp;quot" w:eastAsia="Calibri" w:hAnsi="&amp;quot"/>
          <w:i/>
          <w:color w:val="000000"/>
          <w:sz w:val="24"/>
          <w:szCs w:val="24"/>
          <w:lang w:eastAsia="en-US"/>
        </w:rPr>
      </w:pPr>
      <w:r w:rsidRPr="00893B4B">
        <w:rPr>
          <w:rFonts w:eastAsia="Calibri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4.4. </w:t>
      </w:r>
      <w:r w:rsidR="009D5997"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t>Основные подходы к формированию бюджета поселения</w:t>
      </w:r>
      <w:r w:rsidRPr="00893B4B">
        <w:rPr>
          <w:rFonts w:ascii="&amp;quot" w:eastAsia="Calibri" w:hAnsi="&amp;quot"/>
          <w:color w:val="000000"/>
          <w:sz w:val="24"/>
          <w:szCs w:val="24"/>
          <w:lang w:eastAsia="en-US"/>
        </w:rPr>
        <w:t>.</w:t>
      </w:r>
    </w:p>
    <w:p w:rsidR="009D5997" w:rsidRPr="009D5997" w:rsidRDefault="009D5997" w:rsidP="00893B4B">
      <w:pPr>
        <w:ind w:firstLine="708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За основу планирования расходов бюджета поселения на 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приняты бюджетные ассигнования </w:t>
      </w:r>
      <w:r w:rsidRPr="00557558">
        <w:rPr>
          <w:rFonts w:ascii="&amp;quot" w:hAnsi="&amp;quot"/>
          <w:color w:val="000000"/>
          <w:sz w:val="24"/>
          <w:szCs w:val="24"/>
        </w:rPr>
        <w:t>на 20</w:t>
      </w:r>
      <w:r w:rsidR="00893B4B" w:rsidRPr="00557558">
        <w:rPr>
          <w:rFonts w:ascii="&amp;quot" w:hAnsi="&amp;quot"/>
          <w:color w:val="000000"/>
          <w:sz w:val="24"/>
          <w:szCs w:val="24"/>
        </w:rPr>
        <w:t>22</w:t>
      </w:r>
      <w:r w:rsidRPr="00557558">
        <w:rPr>
          <w:rFonts w:ascii="&amp;quot" w:hAnsi="&amp;quot"/>
          <w:color w:val="000000"/>
          <w:sz w:val="24"/>
          <w:szCs w:val="24"/>
        </w:rPr>
        <w:t xml:space="preserve"> год,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установленные Решением Совета сельского поселения от 2</w:t>
      </w:r>
      <w:r w:rsidR="00893B4B">
        <w:rPr>
          <w:rFonts w:ascii="&amp;quot" w:hAnsi="&amp;quot"/>
          <w:color w:val="000000"/>
          <w:sz w:val="24"/>
          <w:szCs w:val="24"/>
        </w:rPr>
        <w:t>9</w:t>
      </w:r>
      <w:r w:rsidRPr="009D5997">
        <w:rPr>
          <w:rFonts w:ascii="&amp;quot" w:hAnsi="&amp;quot"/>
          <w:color w:val="000000"/>
          <w:sz w:val="24"/>
          <w:szCs w:val="24"/>
        </w:rPr>
        <w:t>.12.20</w:t>
      </w:r>
      <w:r w:rsidR="00893B4B">
        <w:rPr>
          <w:rFonts w:ascii="&amp;quot" w:hAnsi="&amp;quot"/>
          <w:color w:val="000000"/>
          <w:sz w:val="24"/>
          <w:szCs w:val="24"/>
        </w:rPr>
        <w:t>21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г. № </w:t>
      </w:r>
      <w:r w:rsidR="00893B4B">
        <w:rPr>
          <w:rFonts w:ascii="&amp;quot" w:hAnsi="&amp;quot"/>
          <w:color w:val="000000"/>
          <w:sz w:val="24"/>
          <w:szCs w:val="24"/>
        </w:rPr>
        <w:t>144</w:t>
      </w:r>
      <w:r w:rsidRPr="009D5997">
        <w:rPr>
          <w:rFonts w:ascii="&amp;quot" w:hAnsi="&amp;quot"/>
          <w:color w:val="000000"/>
          <w:sz w:val="24"/>
          <w:szCs w:val="24"/>
        </w:rPr>
        <w:t xml:space="preserve"> «О бюджете МО «Н</w:t>
      </w:r>
      <w:r w:rsidR="00893B4B">
        <w:rPr>
          <w:rFonts w:ascii="&amp;quot" w:hAnsi="&amp;quot"/>
          <w:color w:val="000000"/>
          <w:sz w:val="24"/>
          <w:szCs w:val="24"/>
        </w:rPr>
        <w:t>азин</w:t>
      </w:r>
      <w:r w:rsidRPr="009D5997">
        <w:rPr>
          <w:rFonts w:ascii="&amp;quot" w:hAnsi="&amp;quot"/>
          <w:color w:val="000000"/>
          <w:sz w:val="24"/>
          <w:szCs w:val="24"/>
        </w:rPr>
        <w:t>ское сельское поселение</w:t>
      </w:r>
      <w:r w:rsidR="00893B4B">
        <w:rPr>
          <w:rFonts w:ascii="&amp;quot" w:hAnsi="&amp;quot"/>
          <w:color w:val="000000"/>
          <w:sz w:val="24"/>
          <w:szCs w:val="24"/>
        </w:rPr>
        <w:t>» на 2022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и  плановый период 202</w:t>
      </w:r>
      <w:r w:rsidR="00893B4B">
        <w:rPr>
          <w:rFonts w:ascii="&amp;quot" w:hAnsi="&amp;quot"/>
          <w:color w:val="000000"/>
          <w:sz w:val="24"/>
          <w:szCs w:val="24"/>
        </w:rPr>
        <w:t>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и 202</w:t>
      </w:r>
      <w:r w:rsidR="00893B4B">
        <w:rPr>
          <w:rFonts w:ascii="&amp;quot" w:hAnsi="&amp;quot"/>
          <w:color w:val="000000"/>
          <w:sz w:val="24"/>
          <w:szCs w:val="24"/>
        </w:rPr>
        <w:t>4</w:t>
      </w:r>
      <w:r w:rsidRPr="009D5997">
        <w:rPr>
          <w:rFonts w:ascii="&amp;quot" w:hAnsi="&amp;quot"/>
          <w:color w:val="000000"/>
          <w:sz w:val="24"/>
          <w:szCs w:val="24"/>
        </w:rPr>
        <w:t>годов».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="00893B4B">
        <w:rPr>
          <w:rFonts w:ascii="&amp;quot" w:hAnsi="&amp;quot"/>
          <w:color w:val="000000"/>
          <w:sz w:val="24"/>
          <w:szCs w:val="24"/>
        </w:rPr>
        <w:t xml:space="preserve">          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 этом формирование объема и структуры расходов бюджета поселения на </w:t>
      </w:r>
      <w:proofErr w:type="spellStart"/>
      <w:proofErr w:type="gramStart"/>
      <w:r w:rsidR="00893B4B" w:rsidRPr="00893B4B">
        <w:rPr>
          <w:rFonts w:ascii="&amp;quot" w:hAnsi="&amp;quot"/>
          <w:color w:val="000000"/>
          <w:sz w:val="24"/>
          <w:szCs w:val="24"/>
        </w:rPr>
        <w:t>на</w:t>
      </w:r>
      <w:proofErr w:type="spellEnd"/>
      <w:proofErr w:type="gramEnd"/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будет ос</w:t>
      </w:r>
      <w:r w:rsidR="00893B4B">
        <w:rPr>
          <w:rFonts w:ascii="&amp;quot" w:hAnsi="&amp;quot"/>
          <w:color w:val="000000"/>
          <w:sz w:val="24"/>
          <w:szCs w:val="24"/>
        </w:rPr>
        <w:t>уществляться с учетом следующих</w:t>
      </w:r>
      <w:r w:rsidR="00622D51">
        <w:rPr>
          <w:rFonts w:ascii="&amp;quot" w:hAnsi="&amp;quot"/>
          <w:color w:val="000000"/>
          <w:sz w:val="24"/>
          <w:szCs w:val="24"/>
        </w:rPr>
        <w:t xml:space="preserve"> </w:t>
      </w:r>
      <w:r w:rsidRPr="009D5997">
        <w:rPr>
          <w:rFonts w:ascii="&amp;quot" w:hAnsi="&amp;quot"/>
          <w:color w:val="000000"/>
          <w:sz w:val="24"/>
          <w:szCs w:val="24"/>
        </w:rPr>
        <w:t>подходов: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="00893B4B">
        <w:rPr>
          <w:rFonts w:ascii="&amp;quot" w:hAnsi="&amp;quot"/>
          <w:color w:val="000000"/>
          <w:sz w:val="24"/>
          <w:szCs w:val="24"/>
        </w:rPr>
        <w:lastRenderedPageBreak/>
        <w:t xml:space="preserve">         </w:t>
      </w:r>
      <w:r w:rsidRPr="009D5997">
        <w:rPr>
          <w:rFonts w:ascii="&amp;quot" w:hAnsi="&amp;quot"/>
          <w:color w:val="000000"/>
          <w:sz w:val="24"/>
          <w:szCs w:val="24"/>
        </w:rPr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9D5997" w:rsidRPr="009D5997" w:rsidRDefault="00893B4B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2) увеличение бюджетных ассигнований в связи с установлением МРОТ с 1 января 202</w:t>
      </w:r>
      <w:r>
        <w:rPr>
          <w:rFonts w:ascii="&amp;quot" w:hAnsi="&amp;quot"/>
          <w:color w:val="000000"/>
          <w:sz w:val="24"/>
          <w:szCs w:val="24"/>
        </w:rPr>
        <w:t>3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года в сумме </w:t>
      </w:r>
      <w:r w:rsidR="00557558">
        <w:rPr>
          <w:rFonts w:ascii="&amp;quot" w:hAnsi="&amp;quot"/>
          <w:color w:val="000000"/>
          <w:sz w:val="24"/>
          <w:szCs w:val="24"/>
        </w:rPr>
        <w:t>16 242 рублей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в месяц;</w:t>
      </w:r>
    </w:p>
    <w:p w:rsidR="009D5997" w:rsidRPr="009D5997" w:rsidRDefault="00893B4B" w:rsidP="009D5997">
      <w:pPr>
        <w:rPr>
          <w:rFonts w:ascii="&amp;quot" w:hAnsi="&amp;quot"/>
          <w:color w:val="FF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3) определение бюджетных ассигнований на оплату коммунальных услуг в 202</w:t>
      </w:r>
      <w:r>
        <w:rPr>
          <w:rFonts w:ascii="&amp;quot" w:hAnsi="&amp;quot"/>
          <w:color w:val="000000"/>
          <w:sz w:val="24"/>
          <w:szCs w:val="24"/>
        </w:rPr>
        <w:t>3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году, исходя из ожидаемых расходов на оплату коммунальных услуг в 20</w:t>
      </w:r>
      <w:r>
        <w:rPr>
          <w:rFonts w:ascii="&amp;quot" w:hAnsi="&amp;quot"/>
          <w:color w:val="000000"/>
          <w:sz w:val="24"/>
          <w:szCs w:val="24"/>
        </w:rPr>
        <w:t>22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году (с учетом тарифов, действующих с 01.07.20</w:t>
      </w:r>
      <w:r>
        <w:rPr>
          <w:rFonts w:ascii="&amp;quot" w:hAnsi="&amp;quot"/>
          <w:color w:val="000000"/>
          <w:sz w:val="24"/>
          <w:szCs w:val="24"/>
        </w:rPr>
        <w:t>22</w:t>
      </w:r>
      <w:r w:rsidR="00622D51">
        <w:rPr>
          <w:rFonts w:ascii="&amp;quot" w:hAnsi="&amp;quot"/>
          <w:color w:val="000000"/>
          <w:sz w:val="24"/>
          <w:szCs w:val="24"/>
        </w:rPr>
        <w:t xml:space="preserve"> года).</w:t>
      </w:r>
      <w:r w:rsidR="009D5997" w:rsidRPr="009D5997">
        <w:rPr>
          <w:rFonts w:ascii="&amp;quot" w:hAnsi="&amp;quot"/>
          <w:color w:val="000000"/>
          <w:sz w:val="24"/>
          <w:szCs w:val="24"/>
        </w:rPr>
        <w:br/>
      </w:r>
      <w:r w:rsidR="009D5997" w:rsidRPr="009D5997">
        <w:rPr>
          <w:rFonts w:ascii="&amp;quot" w:hAnsi="&amp;quot"/>
          <w:color w:val="000000"/>
          <w:sz w:val="24"/>
          <w:szCs w:val="24"/>
        </w:rPr>
        <w:tab/>
      </w:r>
    </w:p>
    <w:p w:rsidR="009D5997" w:rsidRPr="009D5997" w:rsidRDefault="009D5997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С учетом вышеперечисленных подходов структура расходов бюджета поселения по разделам классификации расходов бюджета характеризуется следующими данными (таблица 2).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Таблица 2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Динамика расходов бюджета поселения по разделам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классификации расходов</w:t>
      </w: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209"/>
        <w:gridCol w:w="2209"/>
        <w:gridCol w:w="2209"/>
      </w:tblGrid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Разделы/подразделы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5 331,447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5 616,422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5 824,125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993,817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1 033,817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993,817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4 125,085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4 183,085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4 220,585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67,545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254,520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464,723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2209" w:type="dxa"/>
          </w:tcPr>
          <w:p w:rsidR="009D5997" w:rsidRPr="009D5997" w:rsidRDefault="00F31A5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771,000</w:t>
            </w:r>
          </w:p>
        </w:tc>
        <w:tc>
          <w:tcPr>
            <w:tcW w:w="2209" w:type="dxa"/>
          </w:tcPr>
          <w:p w:rsidR="009D5997" w:rsidRPr="009D5997" w:rsidRDefault="00F31A5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838,000</w:t>
            </w:r>
          </w:p>
        </w:tc>
        <w:tc>
          <w:tcPr>
            <w:tcW w:w="2209" w:type="dxa"/>
          </w:tcPr>
          <w:p w:rsidR="009D5997" w:rsidRPr="009D5997" w:rsidRDefault="00F31A5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887,000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838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887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10 046,292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9 867,327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9 705,327</w:t>
            </w:r>
          </w:p>
        </w:tc>
      </w:tr>
      <w:tr w:rsidR="008B282A" w:rsidRPr="009D5997" w:rsidTr="00A36CD0">
        <w:tc>
          <w:tcPr>
            <w:tcW w:w="2660" w:type="dxa"/>
          </w:tcPr>
          <w:p w:rsidR="008B282A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2209" w:type="dxa"/>
          </w:tcPr>
          <w:p w:rsidR="008B282A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11,000</w:t>
            </w:r>
          </w:p>
        </w:tc>
        <w:tc>
          <w:tcPr>
            <w:tcW w:w="2209" w:type="dxa"/>
          </w:tcPr>
          <w:p w:rsidR="008B282A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12,000</w:t>
            </w:r>
          </w:p>
        </w:tc>
        <w:tc>
          <w:tcPr>
            <w:tcW w:w="2209" w:type="dxa"/>
          </w:tcPr>
          <w:p w:rsidR="008B282A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9 640,782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9 320,782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9 320,782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394,510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534,545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384,545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395,030</w:t>
            </w:r>
          </w:p>
        </w:tc>
        <w:tc>
          <w:tcPr>
            <w:tcW w:w="2209" w:type="dxa"/>
          </w:tcPr>
          <w:p w:rsidR="009D5997" w:rsidRPr="009D5997" w:rsidRDefault="009D5997" w:rsidP="005B0D38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</w:t>
            </w:r>
            <w:r w:rsidR="005B0D3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5,030</w:t>
            </w:r>
          </w:p>
        </w:tc>
        <w:tc>
          <w:tcPr>
            <w:tcW w:w="2209" w:type="dxa"/>
          </w:tcPr>
          <w:p w:rsidR="009D5997" w:rsidRPr="009D5997" w:rsidRDefault="009D5997" w:rsidP="005B0D38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</w:t>
            </w:r>
            <w:r w:rsidR="005B0D3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5,030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      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</w:tr>
      <w:tr w:rsidR="008B282A" w:rsidRPr="009D5997" w:rsidTr="00A36CD0">
        <w:tc>
          <w:tcPr>
            <w:tcW w:w="2660" w:type="dxa"/>
          </w:tcPr>
          <w:p w:rsidR="008B282A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2209" w:type="dxa"/>
          </w:tcPr>
          <w:p w:rsidR="008B282A" w:rsidRPr="009D5997" w:rsidRDefault="008B282A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2209" w:type="dxa"/>
          </w:tcPr>
          <w:p w:rsidR="008B282A" w:rsidRPr="009D5997" w:rsidRDefault="008B282A" w:rsidP="008B28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09" w:type="dxa"/>
          </w:tcPr>
          <w:p w:rsidR="008B282A" w:rsidRPr="009D5997" w:rsidRDefault="008B282A" w:rsidP="008B28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2209" w:type="dxa"/>
          </w:tcPr>
          <w:p w:rsidR="009D5997" w:rsidRPr="009D5997" w:rsidRDefault="008B282A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18 069,439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18 142,449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18 237,152</w:t>
            </w:r>
          </w:p>
        </w:tc>
      </w:tr>
    </w:tbl>
    <w:p w:rsidR="009D5997" w:rsidRPr="009D5997" w:rsidRDefault="00DE7B04" w:rsidP="009D5997">
      <w:pPr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Бюджет поселения сохранит социальную ориентированность. Продолжит действовать дорожный фонд сельского поселения. На 202</w:t>
      </w:r>
      <w:r>
        <w:rPr>
          <w:rFonts w:ascii="&amp;quot" w:hAnsi="&amp;quot"/>
          <w:color w:val="000000"/>
          <w:sz w:val="24"/>
          <w:szCs w:val="24"/>
        </w:rPr>
        <w:t>3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фонд сформирован в сумме  </w:t>
      </w:r>
      <w:r w:rsidRPr="00DE7B04">
        <w:rPr>
          <w:rFonts w:ascii="&amp;quot" w:hAnsi="&amp;quot"/>
          <w:color w:val="000000"/>
          <w:sz w:val="24"/>
          <w:szCs w:val="24"/>
        </w:rPr>
        <w:t>77</w:t>
      </w:r>
      <w:r w:rsidR="009D5997" w:rsidRPr="009D5997">
        <w:rPr>
          <w:rFonts w:ascii="&amp;quot" w:hAnsi="&amp;quot"/>
          <w:color w:val="000000"/>
          <w:sz w:val="24"/>
          <w:szCs w:val="24"/>
        </w:rPr>
        <w:t>1,000 тыс. рублей, 202</w:t>
      </w:r>
      <w:r w:rsidRPr="00DE7B04">
        <w:rPr>
          <w:rFonts w:ascii="&amp;quot" w:hAnsi="&amp;quot"/>
          <w:color w:val="000000"/>
          <w:sz w:val="24"/>
          <w:szCs w:val="24"/>
        </w:rPr>
        <w:t>4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–</w:t>
      </w:r>
      <w:r w:rsidRPr="00DE7B04">
        <w:rPr>
          <w:rFonts w:ascii="&amp;quot" w:hAnsi="&amp;quot"/>
          <w:color w:val="000000"/>
          <w:sz w:val="24"/>
          <w:szCs w:val="24"/>
        </w:rPr>
        <w:t>838</w:t>
      </w:r>
      <w:r w:rsidR="009D5997" w:rsidRPr="009D5997">
        <w:rPr>
          <w:rFonts w:ascii="&amp;quot" w:hAnsi="&amp;quot"/>
          <w:color w:val="000000"/>
          <w:sz w:val="24"/>
          <w:szCs w:val="24"/>
        </w:rPr>
        <w:t>,000 тыс. рублей, 202</w:t>
      </w:r>
      <w:r>
        <w:rPr>
          <w:rFonts w:ascii="&amp;quot" w:hAnsi="&amp;quot"/>
          <w:color w:val="000000"/>
          <w:sz w:val="24"/>
          <w:szCs w:val="24"/>
        </w:rPr>
        <w:t>5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– </w:t>
      </w:r>
      <w:r>
        <w:rPr>
          <w:rFonts w:ascii="&amp;quot" w:hAnsi="&amp;quot"/>
          <w:color w:val="000000"/>
          <w:sz w:val="24"/>
          <w:szCs w:val="24"/>
        </w:rPr>
        <w:t>887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,000  тыс. рублей. Средства будут направляться на содержание и </w:t>
      </w:r>
      <w:r w:rsidR="009D5997" w:rsidRPr="00077F7A">
        <w:rPr>
          <w:rFonts w:ascii="&amp;quot" w:hAnsi="&amp;quot"/>
          <w:color w:val="000000"/>
          <w:sz w:val="24"/>
          <w:szCs w:val="24"/>
        </w:rPr>
        <w:t>ремонт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автомобильных дорог общего пользования местного значения.</w:t>
      </w:r>
    </w:p>
    <w:p w:rsidR="009D5997" w:rsidRPr="009D5997" w:rsidRDefault="009D5997" w:rsidP="009D5997">
      <w:pPr>
        <w:spacing w:before="100" w:beforeAutospacing="1" w:after="100" w:afterAutospacing="1"/>
        <w:jc w:val="center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b/>
          <w:color w:val="000000"/>
          <w:sz w:val="24"/>
          <w:szCs w:val="24"/>
        </w:rPr>
        <w:t>Дефицит (профицит) бюджета поселения</w:t>
      </w:r>
      <w:r w:rsidRPr="009D5997">
        <w:rPr>
          <w:rFonts w:ascii="&amp;quot" w:hAnsi="&amp;quot"/>
          <w:color w:val="000000"/>
          <w:sz w:val="24"/>
          <w:szCs w:val="24"/>
        </w:rPr>
        <w:t>.</w:t>
      </w:r>
    </w:p>
    <w:p w:rsidR="009D5997" w:rsidRPr="009D5997" w:rsidRDefault="009D5997" w:rsidP="009D5997">
      <w:pPr>
        <w:spacing w:before="100" w:beforeAutospacing="1" w:after="100" w:afterAutospacing="1"/>
        <w:ind w:left="720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В 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 </w:t>
      </w:r>
      <w:r w:rsidR="00DE7B04" w:rsidRPr="00DE7B04">
        <w:t xml:space="preserve"> 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на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бюджет поселения сформирован без дефицита.</w:t>
      </w:r>
    </w:p>
    <w:p w:rsidR="009D5997" w:rsidRPr="009D5997" w:rsidRDefault="009D5997" w:rsidP="00DE7B04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9D5997">
        <w:rPr>
          <w:b/>
          <w:color w:val="000000"/>
          <w:sz w:val="24"/>
          <w:szCs w:val="24"/>
        </w:rPr>
        <w:t>5. Межбюджетные отношения.</w:t>
      </w:r>
    </w:p>
    <w:p w:rsidR="009D5997" w:rsidRPr="009D5997" w:rsidRDefault="009D5997" w:rsidP="009D5997">
      <w:pPr>
        <w:ind w:firstLine="567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Межбюджетные отношения в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</w:t>
      </w:r>
      <w:r w:rsidRPr="009D5997">
        <w:rPr>
          <w:rFonts w:ascii="&amp;quot" w:hAnsi="&amp;quot"/>
          <w:color w:val="000000"/>
          <w:sz w:val="24"/>
          <w:szCs w:val="24"/>
        </w:rPr>
        <w:t xml:space="preserve"> 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на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будут формироваться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 и областного закона от 06.03.2009 № 482-ОЗ «О межбюджетных отношениях в Томской  области».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Приоритетными задачами в сфере межбюджетных отношений являются: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</w:t>
      </w:r>
      <w:proofErr w:type="gramStart"/>
      <w:r w:rsidRPr="009D5997">
        <w:rPr>
          <w:color w:val="000000"/>
          <w:sz w:val="24"/>
          <w:szCs w:val="24"/>
        </w:rPr>
        <w:t>-с</w:t>
      </w:r>
      <w:proofErr w:type="gramEnd"/>
      <w:r w:rsidRPr="009D5997">
        <w:rPr>
          <w:color w:val="000000"/>
          <w:sz w:val="24"/>
          <w:szCs w:val="24"/>
        </w:rPr>
        <w:t>балансированность бюджета, снижение рисков неисполнения первоочередных расходных обязательств;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-реализация Указов Президента Российской Федерации в части повышения заработной платы работникам бюджетной сферы;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-увеличение собственной доходной базы;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-повышение эффективности использования целевых межбюджетных трансфертов;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 </w:t>
      </w:r>
      <w:proofErr w:type="gramStart"/>
      <w:r w:rsidRPr="009D5997">
        <w:rPr>
          <w:color w:val="000000"/>
          <w:sz w:val="24"/>
          <w:szCs w:val="24"/>
        </w:rPr>
        <w:t>-р</w:t>
      </w:r>
      <w:proofErr w:type="gramEnd"/>
      <w:r w:rsidRPr="009D5997">
        <w:rPr>
          <w:color w:val="000000"/>
          <w:sz w:val="24"/>
          <w:szCs w:val="24"/>
        </w:rPr>
        <w:t>еализация мер по укреплению финансовой дисциплины, соблюдению требований бюджетного законодательства.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Основными целями в области межбюджетных отношений являются проведение политики стимулирования роста доходного потенциала поселения, повышение самодостаточности и финансовой самостоятельности бюджета поселения.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</w:t>
      </w:r>
      <w:r w:rsidRPr="009D5997">
        <w:rPr>
          <w:color w:val="000000"/>
          <w:sz w:val="24"/>
          <w:szCs w:val="24"/>
        </w:rPr>
        <w:t xml:space="preserve">Для максимально эффективного использования бюджетных ресурсов, выделяемых из областного и  районного бюджета, необходимо обратить внимание на добросовестность поставщиков и подрядчиков, выполняющих работы по муниципальным контрактам, обеспечить в необходимых объемах </w:t>
      </w:r>
      <w:proofErr w:type="gramStart"/>
      <w:r w:rsidRPr="009D5997">
        <w:rPr>
          <w:color w:val="000000"/>
          <w:sz w:val="24"/>
          <w:szCs w:val="24"/>
        </w:rPr>
        <w:t>со</w:t>
      </w:r>
      <w:proofErr w:type="gramEnd"/>
      <w:r w:rsidRPr="009D5997">
        <w:rPr>
          <w:color w:val="000000"/>
          <w:sz w:val="24"/>
          <w:szCs w:val="24"/>
        </w:rPr>
        <w:t xml:space="preserve"> финансирование из бюджета поселения мероприятий, включенных в расходы областного и районного бюджета, а также своевременное и качественное освоение полученных средств.</w:t>
      </w:r>
    </w:p>
    <w:p w:rsidR="009D5997" w:rsidRPr="009D5997" w:rsidRDefault="009D5997" w:rsidP="009D5997">
      <w:pPr>
        <w:spacing w:before="270" w:after="270"/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 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B3DB0" w:rsidRPr="009D5997" w:rsidRDefault="005B3DB0">
      <w:pPr>
        <w:rPr>
          <w:sz w:val="24"/>
          <w:szCs w:val="24"/>
        </w:rPr>
      </w:pPr>
    </w:p>
    <w:sectPr w:rsidR="005B3DB0" w:rsidRPr="009D5997" w:rsidSect="00622D51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7D" w:rsidRDefault="00F0727D" w:rsidP="00622D51">
      <w:r>
        <w:separator/>
      </w:r>
    </w:p>
  </w:endnote>
  <w:endnote w:type="continuationSeparator" w:id="0">
    <w:p w:rsidR="00F0727D" w:rsidRDefault="00F0727D" w:rsidP="006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7D" w:rsidRDefault="00F0727D" w:rsidP="00622D51">
      <w:r>
        <w:separator/>
      </w:r>
    </w:p>
  </w:footnote>
  <w:footnote w:type="continuationSeparator" w:id="0">
    <w:p w:rsidR="00F0727D" w:rsidRDefault="00F0727D" w:rsidP="0062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532744"/>
      <w:docPartObj>
        <w:docPartGallery w:val="Page Numbers (Top of Page)"/>
        <w:docPartUnique/>
      </w:docPartObj>
    </w:sdtPr>
    <w:sdtContent>
      <w:p w:rsidR="00622D51" w:rsidRDefault="00622D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2D51" w:rsidRDefault="00622D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C4"/>
    <w:multiLevelType w:val="hybridMultilevel"/>
    <w:tmpl w:val="9E6C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64B"/>
    <w:multiLevelType w:val="hybridMultilevel"/>
    <w:tmpl w:val="2F7CED18"/>
    <w:lvl w:ilvl="0" w:tplc="E2A689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A"/>
    <w:rsid w:val="000036F2"/>
    <w:rsid w:val="00077F7A"/>
    <w:rsid w:val="00125ECA"/>
    <w:rsid w:val="002B232B"/>
    <w:rsid w:val="004214FF"/>
    <w:rsid w:val="00447BF4"/>
    <w:rsid w:val="00557558"/>
    <w:rsid w:val="00586462"/>
    <w:rsid w:val="005B0D38"/>
    <w:rsid w:val="005B3DB0"/>
    <w:rsid w:val="00605F76"/>
    <w:rsid w:val="00622D51"/>
    <w:rsid w:val="007145D7"/>
    <w:rsid w:val="00843A39"/>
    <w:rsid w:val="00893B4B"/>
    <w:rsid w:val="008B282A"/>
    <w:rsid w:val="00911B61"/>
    <w:rsid w:val="009D5997"/>
    <w:rsid w:val="00A36CD0"/>
    <w:rsid w:val="00BB5CB0"/>
    <w:rsid w:val="00C15BBA"/>
    <w:rsid w:val="00C4570C"/>
    <w:rsid w:val="00C752E4"/>
    <w:rsid w:val="00DE7B04"/>
    <w:rsid w:val="00F0727D"/>
    <w:rsid w:val="00F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rabotnaya_plat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inochnaya_stoi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j_n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2022-10-28T08:49:00Z</cp:lastPrinted>
  <dcterms:created xsi:type="dcterms:W3CDTF">2022-10-23T08:43:00Z</dcterms:created>
  <dcterms:modified xsi:type="dcterms:W3CDTF">2022-11-08T08:25:00Z</dcterms:modified>
</cp:coreProperties>
</file>